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289" w:type="dxa"/>
        <w:tblLook w:val="01E0" w:firstRow="1" w:lastRow="1" w:firstColumn="1" w:lastColumn="1" w:noHBand="0" w:noVBand="0"/>
      </w:tblPr>
      <w:tblGrid>
        <w:gridCol w:w="3235"/>
        <w:gridCol w:w="7681"/>
      </w:tblGrid>
      <w:tr w:rsidR="00E55CA0" w:rsidRPr="00EB2D34" w14:paraId="67851551" w14:textId="77777777" w:rsidTr="00F233BA">
        <w:tc>
          <w:tcPr>
            <w:tcW w:w="3235" w:type="dxa"/>
            <w:shd w:val="clear" w:color="auto" w:fill="BDD6EE" w:themeFill="accent1" w:themeFillTint="66"/>
          </w:tcPr>
          <w:p w14:paraId="57E9A1C5" w14:textId="77777777" w:rsidR="00E55CA0" w:rsidRPr="00EB2D34" w:rsidRDefault="00E55CA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7681" w:type="dxa"/>
          </w:tcPr>
          <w:p w14:paraId="38EFEDDD" w14:textId="7A441FE5" w:rsidR="00E55CA0" w:rsidRPr="00EB2D34" w:rsidRDefault="00266C5F" w:rsidP="00EB2D3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Fixed Intelligence Management Unit - Sergeant</w:t>
            </w:r>
          </w:p>
        </w:tc>
      </w:tr>
      <w:tr w:rsidR="00E55CA0" w:rsidRPr="00EB2D34" w14:paraId="27391CA8" w14:textId="77777777" w:rsidTr="00F233BA">
        <w:tc>
          <w:tcPr>
            <w:tcW w:w="3235" w:type="dxa"/>
            <w:shd w:val="clear" w:color="auto" w:fill="BDD6EE" w:themeFill="accent1" w:themeFillTint="66"/>
          </w:tcPr>
          <w:p w14:paraId="778FC30D" w14:textId="52E7838E" w:rsidR="00E55CA0" w:rsidRPr="00EB2D34" w:rsidRDefault="003E676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Department/Unit:</w:t>
            </w:r>
          </w:p>
        </w:tc>
        <w:tc>
          <w:tcPr>
            <w:tcW w:w="7681" w:type="dxa"/>
          </w:tcPr>
          <w:p w14:paraId="613AC8E0" w14:textId="3366DDEF" w:rsidR="00E55CA0" w:rsidRPr="00266C5F" w:rsidRDefault="00266C5F" w:rsidP="00EB2D34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6C5F">
              <w:rPr>
                <w:rFonts w:cs="Arial"/>
                <w:b/>
                <w:bCs/>
                <w:sz w:val="24"/>
                <w:szCs w:val="24"/>
              </w:rPr>
              <w:t xml:space="preserve">FIMU-PURSUE ERSOU CTP </w:t>
            </w:r>
          </w:p>
        </w:tc>
      </w:tr>
      <w:tr w:rsidR="00E55CA0" w:rsidRPr="00EB2D34" w14:paraId="3B320D39" w14:textId="77777777" w:rsidTr="00F233BA">
        <w:tc>
          <w:tcPr>
            <w:tcW w:w="3235" w:type="dxa"/>
            <w:shd w:val="clear" w:color="auto" w:fill="BDD6EE" w:themeFill="accent1" w:themeFillTint="66"/>
          </w:tcPr>
          <w:p w14:paraId="550D265B" w14:textId="13BB2672" w:rsidR="00E55CA0" w:rsidRPr="00EB2D34" w:rsidRDefault="0056320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Rank/Grade:</w:t>
            </w:r>
          </w:p>
        </w:tc>
        <w:tc>
          <w:tcPr>
            <w:tcW w:w="7681" w:type="dxa"/>
          </w:tcPr>
          <w:p w14:paraId="74855C47" w14:textId="5BC85823" w:rsidR="00E55CA0" w:rsidRPr="00C5335A" w:rsidRDefault="003E676F" w:rsidP="00EB2D34">
            <w:pPr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6C5F">
              <w:rPr>
                <w:rFonts w:cs="Arial"/>
                <w:b/>
                <w:bCs/>
                <w:sz w:val="24"/>
                <w:szCs w:val="24"/>
              </w:rPr>
              <w:t>Sergeant</w:t>
            </w:r>
            <w:r w:rsidRPr="00C5335A">
              <w:rPr>
                <w:rFonts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E55CA0" w:rsidRPr="00EB2D34" w14:paraId="2058FFDD" w14:textId="77777777" w:rsidTr="00F233BA">
        <w:tc>
          <w:tcPr>
            <w:tcW w:w="3235" w:type="dxa"/>
            <w:shd w:val="clear" w:color="auto" w:fill="BDD6EE" w:themeFill="accent1" w:themeFillTint="66"/>
          </w:tcPr>
          <w:p w14:paraId="0A32203F" w14:textId="77777777" w:rsidR="00E55CA0" w:rsidRPr="00EB2D34" w:rsidRDefault="00E55CA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Reporting to:</w:t>
            </w:r>
          </w:p>
        </w:tc>
        <w:tc>
          <w:tcPr>
            <w:tcW w:w="7681" w:type="dxa"/>
          </w:tcPr>
          <w:p w14:paraId="400BD0E0" w14:textId="2A5D8221" w:rsidR="00E55CA0" w:rsidRPr="00EB2D34" w:rsidRDefault="00266C5F" w:rsidP="00EB2D3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Detective Inspector – Intelligence</w:t>
            </w:r>
          </w:p>
        </w:tc>
      </w:tr>
      <w:tr w:rsidR="00E55CA0" w:rsidRPr="00EB2D34" w14:paraId="1B60B07B" w14:textId="77777777" w:rsidTr="00F233BA">
        <w:tc>
          <w:tcPr>
            <w:tcW w:w="3235" w:type="dxa"/>
            <w:shd w:val="clear" w:color="auto" w:fill="BDD6EE" w:themeFill="accent1" w:themeFillTint="66"/>
          </w:tcPr>
          <w:p w14:paraId="115C76A3" w14:textId="77777777" w:rsidR="00E55CA0" w:rsidRPr="00EB2D34" w:rsidRDefault="00E55CA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Main purpose of the role:</w:t>
            </w:r>
          </w:p>
        </w:tc>
        <w:tc>
          <w:tcPr>
            <w:tcW w:w="7681" w:type="dxa"/>
          </w:tcPr>
          <w:p w14:paraId="6AFD883E" w14:textId="4E909C89" w:rsidR="00E55CA0" w:rsidRPr="00096ADA" w:rsidRDefault="0052182E" w:rsidP="00D836F9">
            <w:pPr>
              <w:spacing w:line="360" w:lineRule="auto"/>
              <w:rPr>
                <w:rFonts w:cs="Arial"/>
                <w:color w:val="538135" w:themeColor="accent6" w:themeShade="BF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>Leading a team of intelligence professionals in the continued identification and disruption of terrorism across the eastern region and United Kingdom, the post holder will direct and manage intelligence support</w:t>
            </w:r>
            <w:r w:rsidR="00D836F9" w:rsidRPr="00096ADA">
              <w:rPr>
                <w:rFonts w:cs="Arial"/>
                <w:sz w:val="21"/>
                <w:szCs w:val="21"/>
              </w:rPr>
              <w:t>, preventing terrorist attacks and working t</w:t>
            </w:r>
            <w:r w:rsidR="00E55CA0" w:rsidRPr="00096ADA">
              <w:rPr>
                <w:rFonts w:cs="Arial"/>
                <w:sz w:val="21"/>
                <w:szCs w:val="21"/>
              </w:rPr>
              <w:t xml:space="preserve">o contribute to achieving the vision, </w:t>
            </w:r>
            <w:r w:rsidR="00096ADA" w:rsidRPr="00096ADA">
              <w:rPr>
                <w:rFonts w:cs="Arial"/>
                <w:sz w:val="21"/>
                <w:szCs w:val="21"/>
              </w:rPr>
              <w:t>purpose,</w:t>
            </w:r>
            <w:r w:rsidR="00E55CA0" w:rsidRPr="00096ADA">
              <w:rPr>
                <w:rFonts w:cs="Arial"/>
                <w:sz w:val="21"/>
                <w:szCs w:val="21"/>
              </w:rPr>
              <w:t xml:space="preserve"> and values of</w:t>
            </w:r>
            <w:r w:rsidR="00C5335A" w:rsidRPr="00096ADA">
              <w:rPr>
                <w:rFonts w:cs="Arial"/>
                <w:sz w:val="21"/>
                <w:szCs w:val="21"/>
              </w:rPr>
              <w:t xml:space="preserve"> ERSOU Policing.</w:t>
            </w:r>
          </w:p>
        </w:tc>
      </w:tr>
    </w:tbl>
    <w:p w14:paraId="675F1F32" w14:textId="77777777" w:rsidR="00E55CA0" w:rsidRPr="00EB2D34" w:rsidRDefault="00E55CA0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289" w:type="dxa"/>
        <w:tblLook w:val="01E0" w:firstRow="1" w:lastRow="1" w:firstColumn="1" w:lastColumn="1" w:noHBand="0" w:noVBand="0"/>
      </w:tblPr>
      <w:tblGrid>
        <w:gridCol w:w="10916"/>
      </w:tblGrid>
      <w:tr w:rsidR="00E55CA0" w:rsidRPr="00EB2D34" w14:paraId="7D550D0A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473CAA10" w14:textId="77777777" w:rsidR="00E55CA0" w:rsidRPr="00EB2D34" w:rsidRDefault="00E55CA0" w:rsidP="00EB2D3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Key Responsibilities</w:t>
            </w:r>
          </w:p>
        </w:tc>
      </w:tr>
      <w:tr w:rsidR="00E55CA0" w:rsidRPr="00EB2D34" w14:paraId="79F8AB4B" w14:textId="77777777" w:rsidTr="00F233BA">
        <w:tc>
          <w:tcPr>
            <w:tcW w:w="10916" w:type="dxa"/>
          </w:tcPr>
          <w:p w14:paraId="7F0E1C14" w14:textId="77777777" w:rsidR="00D836F9" w:rsidRPr="006751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The effective management of the regional Fixed Intelligence Management Unit (FIMU) including the supervision and development of police officers and police staff working in the unit.</w:t>
            </w:r>
          </w:p>
          <w:p w14:paraId="1A732DEA" w14:textId="77777777" w:rsidR="00D836F9" w:rsidRPr="006751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Ensuring intelligence product is managed in accordance with the National Standards for Intelligence Management (NSIM).</w:t>
            </w:r>
          </w:p>
          <w:p w14:paraId="51428BDA" w14:textId="77777777" w:rsidR="00D836F9" w:rsidRPr="006751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 xml:space="preserve">Ensuring appropriate liaison and effective communication between the ERSOU and National CT policing functions. </w:t>
            </w:r>
          </w:p>
          <w:p w14:paraId="4525364D" w14:textId="1765614E" w:rsidR="00D836F9" w:rsidRPr="006751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 xml:space="preserve">Liaising with regional Counter Terrorism </w:t>
            </w:r>
            <w:r>
              <w:rPr>
                <w:rFonts w:ascii="Arial" w:hAnsi="Arial" w:cs="Arial"/>
                <w:sz w:val="21"/>
                <w:szCs w:val="21"/>
              </w:rPr>
              <w:t>Units</w:t>
            </w:r>
            <w:r w:rsidRPr="0067512C">
              <w:rPr>
                <w:rFonts w:ascii="Arial" w:hAnsi="Arial" w:cs="Arial"/>
                <w:sz w:val="21"/>
                <w:szCs w:val="21"/>
              </w:rPr>
              <w:t xml:space="preserve"> and maintaining a close working relationship with security service partners to ensure the free flow of intelligence across the region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the United Kingdom. </w:t>
            </w:r>
          </w:p>
          <w:p w14:paraId="2C318C39" w14:textId="77777777" w:rsidR="00D836F9" w:rsidRPr="006751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 xml:space="preserve">Maximising intelligence opportunities and supporting operations across the region in accordance with current priorities. </w:t>
            </w:r>
          </w:p>
          <w:p w14:paraId="5F243172" w14:textId="14153788" w:rsidR="00D836F9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Managing l</w:t>
            </w:r>
            <w:r>
              <w:rPr>
                <w:rFonts w:ascii="Arial" w:hAnsi="Arial" w:cs="Arial"/>
                <w:sz w:val="21"/>
                <w:szCs w:val="21"/>
              </w:rPr>
              <w:t>ive-time incidents/intelligence</w:t>
            </w:r>
            <w:r w:rsidRPr="0067512C">
              <w:rPr>
                <w:rFonts w:ascii="Arial" w:hAnsi="Arial" w:cs="Arial"/>
                <w:sz w:val="21"/>
                <w:szCs w:val="21"/>
              </w:rPr>
              <w:t>, establishing an effective in</w:t>
            </w:r>
            <w:r>
              <w:rPr>
                <w:rFonts w:ascii="Arial" w:hAnsi="Arial" w:cs="Arial"/>
                <w:sz w:val="21"/>
                <w:szCs w:val="21"/>
              </w:rPr>
              <w:t>telligence development</w:t>
            </w:r>
            <w:r w:rsidRPr="0067512C">
              <w:rPr>
                <w:rFonts w:ascii="Arial" w:hAnsi="Arial" w:cs="Arial"/>
                <w:sz w:val="21"/>
                <w:szCs w:val="21"/>
              </w:rPr>
              <w:t xml:space="preserve"> strategy to mitigate threat, </w:t>
            </w:r>
            <w:r w:rsidR="00096ADA" w:rsidRPr="0067512C">
              <w:rPr>
                <w:rFonts w:ascii="Arial" w:hAnsi="Arial" w:cs="Arial"/>
                <w:sz w:val="21"/>
                <w:szCs w:val="21"/>
              </w:rPr>
              <w:t>harm,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risk. </w:t>
            </w:r>
          </w:p>
          <w:p w14:paraId="2A9A70AA" w14:textId="77777777" w:rsidR="00276D2C" w:rsidRPr="00276D2C" w:rsidRDefault="00276D2C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Responsible for ensuring that all enquiries and requests made into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ERSOU CTP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requiring a policing response are dealt with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 a timely, risk adverse manner.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A7C8FF9" w14:textId="77777777" w:rsidR="00276D2C" w:rsidRPr="00276D2C" w:rsidRDefault="00276D2C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Attend meetings when 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necessary,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giving appropriate briefings to operational teams and senior officers.</w:t>
            </w:r>
          </w:p>
          <w:p w14:paraId="0289C7BC" w14:textId="3D415B3A" w:rsidR="00276D2C" w:rsidRPr="00276D2C" w:rsidRDefault="00276D2C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Maintain contact with departments/agencies both internal and external to the organisation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in order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to</w:t>
            </w:r>
            <w:proofErr w:type="gramEnd"/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 ensure effective 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communication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s to aid problem solvin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 xml:space="preserve">g, </w:t>
            </w:r>
            <w:r w:rsidRPr="00276D2C">
              <w:rPr>
                <w:rFonts w:ascii="Arial" w:hAnsi="Arial" w:cs="Arial"/>
                <w:color w:val="000000"/>
                <w:sz w:val="21"/>
                <w:szCs w:val="21"/>
              </w:rPr>
              <w:t>decision making and to negotiate for, and acquire specialist help when necessary.</w:t>
            </w:r>
          </w:p>
          <w:p w14:paraId="56684A56" w14:textId="176322EE" w:rsidR="001414C8" w:rsidRPr="00276D2C" w:rsidRDefault="00D836F9" w:rsidP="00276D2C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6D2C">
              <w:rPr>
                <w:rFonts w:ascii="Arial" w:hAnsi="Arial" w:cs="Arial"/>
                <w:sz w:val="21"/>
                <w:szCs w:val="21"/>
              </w:rPr>
              <w:t xml:space="preserve">The post holder will on occasions be called upon to support the </w:t>
            </w:r>
            <w:r w:rsidR="00266146" w:rsidRPr="00276D2C">
              <w:rPr>
                <w:rFonts w:ascii="Arial" w:hAnsi="Arial" w:cs="Arial"/>
                <w:sz w:val="21"/>
                <w:szCs w:val="21"/>
              </w:rPr>
              <w:t>management of an intelligence cell relating to</w:t>
            </w:r>
            <w:r w:rsidRPr="00276D2C">
              <w:rPr>
                <w:rFonts w:ascii="Arial" w:hAnsi="Arial" w:cs="Arial"/>
                <w:sz w:val="21"/>
                <w:szCs w:val="21"/>
              </w:rPr>
              <w:t xml:space="preserve"> suspected terrorist incidents and individuals who come to notice as suspected of being involved in terrorism. This includes dealing with </w:t>
            </w:r>
            <w:r w:rsidR="00266146" w:rsidRPr="00276D2C">
              <w:rPr>
                <w:rFonts w:ascii="Arial" w:hAnsi="Arial" w:cs="Arial"/>
                <w:sz w:val="21"/>
                <w:szCs w:val="21"/>
              </w:rPr>
              <w:t xml:space="preserve">partners in the Counter Terrorism Command. </w:t>
            </w:r>
          </w:p>
        </w:tc>
      </w:tr>
    </w:tbl>
    <w:p w14:paraId="53D04538" w14:textId="0F599403" w:rsidR="00E55CA0" w:rsidRDefault="00E55CA0" w:rsidP="00EB2D34">
      <w:pPr>
        <w:spacing w:line="360" w:lineRule="auto"/>
        <w:rPr>
          <w:rFonts w:cs="Arial"/>
          <w:sz w:val="24"/>
          <w:szCs w:val="24"/>
        </w:rPr>
      </w:pPr>
    </w:p>
    <w:p w14:paraId="7A8FE35F" w14:textId="1CD21434" w:rsidR="008613AC" w:rsidRDefault="008613AC" w:rsidP="00EB2D34">
      <w:pPr>
        <w:spacing w:line="360" w:lineRule="auto"/>
        <w:rPr>
          <w:rFonts w:cs="Arial"/>
          <w:sz w:val="24"/>
          <w:szCs w:val="24"/>
        </w:rPr>
      </w:pPr>
    </w:p>
    <w:p w14:paraId="425DDFF7" w14:textId="77777777" w:rsidR="00096ADA" w:rsidRDefault="00096ADA" w:rsidP="00EB2D34">
      <w:pPr>
        <w:spacing w:line="360" w:lineRule="auto"/>
        <w:rPr>
          <w:rFonts w:cs="Arial"/>
          <w:sz w:val="24"/>
          <w:szCs w:val="24"/>
        </w:rPr>
      </w:pPr>
    </w:p>
    <w:p w14:paraId="4DC8105E" w14:textId="77777777" w:rsidR="008613AC" w:rsidRPr="00EB2D34" w:rsidRDefault="008613AC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289" w:type="dxa"/>
        <w:tblLook w:val="01E0" w:firstRow="1" w:lastRow="1" w:firstColumn="1" w:lastColumn="1" w:noHBand="0" w:noVBand="0"/>
      </w:tblPr>
      <w:tblGrid>
        <w:gridCol w:w="5111"/>
        <w:gridCol w:w="5805"/>
      </w:tblGrid>
      <w:tr w:rsidR="00E20501" w:rsidRPr="00EB2D34" w14:paraId="303AAFB2" w14:textId="77777777" w:rsidTr="00F233BA">
        <w:tc>
          <w:tcPr>
            <w:tcW w:w="5111" w:type="dxa"/>
            <w:shd w:val="clear" w:color="auto" w:fill="BDD6EE" w:themeFill="accent1" w:themeFillTint="66"/>
          </w:tcPr>
          <w:p w14:paraId="7A186D8A" w14:textId="01EC1298" w:rsidR="00E20501" w:rsidRPr="00EB2D34" w:rsidRDefault="00E20501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lastRenderedPageBreak/>
              <w:t xml:space="preserve">Financial </w:t>
            </w:r>
            <w:r w:rsidR="005E595C" w:rsidRPr="00EB2D34">
              <w:rPr>
                <w:rFonts w:cs="Arial"/>
                <w:b/>
                <w:sz w:val="24"/>
                <w:szCs w:val="24"/>
              </w:rPr>
              <w:t>e.g.,</w:t>
            </w:r>
            <w:r w:rsidRPr="00EB2D34">
              <w:rPr>
                <w:rFonts w:cs="Arial"/>
                <w:b/>
                <w:sz w:val="24"/>
                <w:szCs w:val="24"/>
              </w:rPr>
              <w:t xml:space="preserve"> Limits/Mandates</w:t>
            </w:r>
          </w:p>
        </w:tc>
        <w:tc>
          <w:tcPr>
            <w:tcW w:w="5805" w:type="dxa"/>
            <w:shd w:val="clear" w:color="auto" w:fill="BDD6EE" w:themeFill="accent1" w:themeFillTint="66"/>
          </w:tcPr>
          <w:p w14:paraId="162F50C7" w14:textId="28626651" w:rsidR="00E20501" w:rsidRPr="00EB2D34" w:rsidRDefault="00E20501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 xml:space="preserve">Non-Financial </w:t>
            </w:r>
            <w:r w:rsidR="005E595C" w:rsidRPr="00EB2D34">
              <w:rPr>
                <w:rFonts w:cs="Arial"/>
                <w:b/>
                <w:sz w:val="24"/>
                <w:szCs w:val="24"/>
              </w:rPr>
              <w:t>e.g.,</w:t>
            </w:r>
            <w:r w:rsidRPr="00EB2D34">
              <w:rPr>
                <w:rFonts w:cs="Arial"/>
                <w:b/>
                <w:sz w:val="24"/>
                <w:szCs w:val="24"/>
              </w:rPr>
              <w:t xml:space="preserve"> Staff Responsibility</w:t>
            </w:r>
          </w:p>
        </w:tc>
      </w:tr>
      <w:tr w:rsidR="00E20501" w:rsidRPr="00EB2D34" w14:paraId="34B1B603" w14:textId="77777777" w:rsidTr="00F233BA">
        <w:tc>
          <w:tcPr>
            <w:tcW w:w="5111" w:type="dxa"/>
          </w:tcPr>
          <w:p w14:paraId="56730B7E" w14:textId="44078A2A" w:rsidR="00266146" w:rsidRPr="00266146" w:rsidRDefault="00E20501" w:rsidP="00266146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cs="Arial"/>
                <w:sz w:val="24"/>
                <w:szCs w:val="24"/>
              </w:rPr>
            </w:pPr>
            <w:r w:rsidRPr="00266146">
              <w:rPr>
                <w:rFonts w:cs="Arial"/>
                <w:sz w:val="24"/>
                <w:szCs w:val="24"/>
              </w:rPr>
              <w:t xml:space="preserve">None </w:t>
            </w:r>
          </w:p>
          <w:p w14:paraId="168CB3B9" w14:textId="732C0922" w:rsidR="00E20501" w:rsidRPr="00266146" w:rsidRDefault="00E20501" w:rsidP="00266146">
            <w:pPr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AEDED34" w14:textId="36D25AFC" w:rsidR="00E20501" w:rsidRPr="00096ADA" w:rsidRDefault="00E20501" w:rsidP="00EB2D34">
            <w:pPr>
              <w:numPr>
                <w:ilvl w:val="0"/>
                <w:numId w:val="1"/>
              </w:numPr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>Line management responsibility for staff and/or officers</w:t>
            </w:r>
          </w:p>
        </w:tc>
      </w:tr>
    </w:tbl>
    <w:p w14:paraId="3AD71B9B" w14:textId="77777777" w:rsidR="00E20501" w:rsidRPr="00EB2D34" w:rsidRDefault="00E20501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3687"/>
        <w:gridCol w:w="7229"/>
      </w:tblGrid>
      <w:tr w:rsidR="00E20501" w:rsidRPr="00EB2D34" w14:paraId="5462F1D8" w14:textId="77777777" w:rsidTr="00F233BA">
        <w:tc>
          <w:tcPr>
            <w:tcW w:w="3687" w:type="dxa"/>
            <w:shd w:val="clear" w:color="auto" w:fill="BDD6EE" w:themeFill="accent1" w:themeFillTint="66"/>
          </w:tcPr>
          <w:p w14:paraId="610DE3CA" w14:textId="77777777" w:rsidR="00E20501" w:rsidRPr="00EB2D34" w:rsidRDefault="00E20501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Psychological Assessment</w:t>
            </w:r>
          </w:p>
        </w:tc>
        <w:tc>
          <w:tcPr>
            <w:tcW w:w="7229" w:type="dxa"/>
          </w:tcPr>
          <w:p w14:paraId="32F74D73" w14:textId="3E180BFF" w:rsidR="00E20501" w:rsidRPr="00096ADA" w:rsidRDefault="00266146" w:rsidP="00EB2D34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>Not required</w:t>
            </w:r>
          </w:p>
        </w:tc>
      </w:tr>
      <w:tr w:rsidR="00E20501" w:rsidRPr="00EB2D34" w14:paraId="6194A1DD" w14:textId="77777777" w:rsidTr="00F233BA">
        <w:tc>
          <w:tcPr>
            <w:tcW w:w="3687" w:type="dxa"/>
            <w:shd w:val="clear" w:color="auto" w:fill="BDD6EE" w:themeFill="accent1" w:themeFillTint="66"/>
          </w:tcPr>
          <w:p w14:paraId="72E4C6BB" w14:textId="77777777" w:rsidR="00E20501" w:rsidRPr="00EB2D34" w:rsidRDefault="00E20501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Return on Investment</w:t>
            </w:r>
          </w:p>
        </w:tc>
        <w:tc>
          <w:tcPr>
            <w:tcW w:w="7229" w:type="dxa"/>
          </w:tcPr>
          <w:p w14:paraId="6149A6E6" w14:textId="12EE8C86" w:rsidR="00E20501" w:rsidRPr="00096ADA" w:rsidRDefault="00266146" w:rsidP="00266146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 xml:space="preserve">Due to vetting </w:t>
            </w:r>
            <w:r w:rsidR="008613AC" w:rsidRPr="00096ADA">
              <w:rPr>
                <w:rFonts w:cs="Arial"/>
                <w:sz w:val="21"/>
                <w:szCs w:val="21"/>
              </w:rPr>
              <w:t>requirements,</w:t>
            </w:r>
            <w:r w:rsidRPr="00096ADA">
              <w:rPr>
                <w:rFonts w:cs="Arial"/>
                <w:sz w:val="21"/>
                <w:szCs w:val="21"/>
              </w:rPr>
              <w:t xml:space="preserve"> there is minimum expectation of 1 year service in this post. </w:t>
            </w:r>
          </w:p>
        </w:tc>
      </w:tr>
    </w:tbl>
    <w:p w14:paraId="24851BD7" w14:textId="77777777" w:rsidR="00E55CA0" w:rsidRPr="00EB2D34" w:rsidRDefault="00E55CA0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289" w:type="dxa"/>
        <w:tblLook w:val="01E0" w:firstRow="1" w:lastRow="1" w:firstColumn="1" w:lastColumn="1" w:noHBand="0" w:noVBand="0"/>
      </w:tblPr>
      <w:tblGrid>
        <w:gridCol w:w="10916"/>
      </w:tblGrid>
      <w:tr w:rsidR="00E55CA0" w:rsidRPr="00EB2D34" w14:paraId="403CE475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2189D854" w14:textId="77777777" w:rsidR="00E55CA0" w:rsidRPr="00EB2D34" w:rsidRDefault="00E55CA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Entry Requirements</w:t>
            </w:r>
          </w:p>
        </w:tc>
      </w:tr>
      <w:tr w:rsidR="00EB2D34" w:rsidRPr="00EB2D34" w14:paraId="0C14088D" w14:textId="77777777" w:rsidTr="00F233BA">
        <w:tc>
          <w:tcPr>
            <w:tcW w:w="10916" w:type="dxa"/>
          </w:tcPr>
          <w:p w14:paraId="5FA8182E" w14:textId="008156E1" w:rsidR="00266146" w:rsidRPr="0067512C" w:rsidRDefault="00266146" w:rsidP="00703B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Substantive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7512C">
              <w:rPr>
                <w:rFonts w:ascii="Arial" w:hAnsi="Arial" w:cs="Arial"/>
                <w:sz w:val="21"/>
                <w:szCs w:val="21"/>
              </w:rPr>
              <w:t>Sergeant.</w:t>
            </w:r>
          </w:p>
          <w:p w14:paraId="6AD0154C" w14:textId="77777777" w:rsidR="00266146" w:rsidRPr="0067512C" w:rsidRDefault="00266146" w:rsidP="00703B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The candidate must have knowledge of and practical experience in, the development of sensitive intelligence products and processes, covert policing tactics and the management and handling of sensitive intelligence.</w:t>
            </w:r>
          </w:p>
          <w:p w14:paraId="7DD16AFD" w14:textId="77777777" w:rsidR="00266146" w:rsidRPr="0067512C" w:rsidRDefault="00266146" w:rsidP="00703B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The candidate should be up to date with legislation relating to National Intelligence Model (NIM), Management of Police Information (MOPI) &amp; data protection.</w:t>
            </w:r>
          </w:p>
          <w:p w14:paraId="67B8BE8F" w14:textId="77777777" w:rsidR="00703B25" w:rsidRPr="0067512C" w:rsidRDefault="00703B25" w:rsidP="00703B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 xml:space="preserve">Demonstrate experience in the assessment and management of threat/risk and the development and application of appropriate control measures. </w:t>
            </w:r>
          </w:p>
          <w:p w14:paraId="6119BA7C" w14:textId="77777777" w:rsidR="00703B25" w:rsidRPr="0067512C" w:rsidRDefault="00703B25" w:rsidP="00703B2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Ability to use ERSOU CTP IT and intelligence systems.</w:t>
            </w:r>
          </w:p>
          <w:p w14:paraId="2D70465E" w14:textId="77777777" w:rsidR="00703B25" w:rsidRPr="0067512C" w:rsidRDefault="00703B25" w:rsidP="00703B25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 xml:space="preserve">The post holder 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 w:rsidRPr="0067512C">
              <w:rPr>
                <w:rFonts w:ascii="Arial" w:hAnsi="Arial" w:cs="Arial"/>
                <w:sz w:val="21"/>
                <w:szCs w:val="21"/>
              </w:rPr>
              <w:t xml:space="preserve"> required to have a broad range of understanding of both UK and International terrorism issues and will be required to maintain their knowledge of:</w:t>
            </w:r>
          </w:p>
          <w:p w14:paraId="47484230" w14:textId="77777777" w:rsidR="00703B25" w:rsidRPr="0067512C" w:rsidRDefault="00703B25" w:rsidP="00703B2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General terrorism legislation.</w:t>
            </w:r>
          </w:p>
          <w:p w14:paraId="3A201490" w14:textId="77777777" w:rsidR="00703B25" w:rsidRPr="0067512C" w:rsidRDefault="00703B25" w:rsidP="00703B2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(RIPA) - Regulation of Investigatory Powers Act 2000.</w:t>
            </w:r>
          </w:p>
          <w:p w14:paraId="7BC1AC14" w14:textId="3D017D9F" w:rsidR="00703B25" w:rsidRDefault="00703B25" w:rsidP="00703B25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512C">
              <w:rPr>
                <w:rFonts w:ascii="Arial" w:hAnsi="Arial" w:cs="Arial"/>
                <w:sz w:val="21"/>
                <w:szCs w:val="21"/>
              </w:rPr>
              <w:t>Worldwide issues relating to terrorism and terrorist groups that may pose a threat to the UK and overseas UK interests.</w:t>
            </w:r>
          </w:p>
          <w:p w14:paraId="5ED425D0" w14:textId="77777777" w:rsidR="008613AC" w:rsidRDefault="00241804" w:rsidP="008613A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CONTEST strategy.</w:t>
            </w:r>
          </w:p>
          <w:p w14:paraId="0BD1D639" w14:textId="7478F176" w:rsidR="001414C8" w:rsidRPr="008613AC" w:rsidRDefault="00703B25" w:rsidP="008613A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3AC">
              <w:rPr>
                <w:rFonts w:ascii="Arial" w:hAnsi="Arial" w:cs="Arial"/>
                <w:sz w:val="21"/>
                <w:szCs w:val="21"/>
              </w:rPr>
              <w:t>ACPO guidelines on Intelligence.</w:t>
            </w:r>
          </w:p>
        </w:tc>
      </w:tr>
    </w:tbl>
    <w:p w14:paraId="5E82921F" w14:textId="77777777" w:rsidR="00FA78B9" w:rsidRPr="00EB2D34" w:rsidRDefault="00FA78B9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289" w:type="dxa"/>
        <w:tblLook w:val="01E0" w:firstRow="1" w:lastRow="1" w:firstColumn="1" w:lastColumn="1" w:noHBand="0" w:noVBand="0"/>
      </w:tblPr>
      <w:tblGrid>
        <w:gridCol w:w="10916"/>
      </w:tblGrid>
      <w:tr w:rsidR="00E55CA0" w:rsidRPr="00EB2D34" w14:paraId="1676E3DD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522CA9B2" w14:textId="77777777" w:rsidR="00E55CA0" w:rsidRPr="00EB2D34" w:rsidRDefault="00E55CA0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Any other General Requirements/Scope</w:t>
            </w:r>
          </w:p>
        </w:tc>
      </w:tr>
      <w:tr w:rsidR="00E55CA0" w:rsidRPr="00EB2D34" w14:paraId="69D55C1E" w14:textId="77777777" w:rsidTr="00F233BA">
        <w:tc>
          <w:tcPr>
            <w:tcW w:w="10916" w:type="dxa"/>
          </w:tcPr>
          <w:p w14:paraId="5ABFD835" w14:textId="4A3CF5D1" w:rsidR="00F233BA" w:rsidRPr="008613AC" w:rsidRDefault="000F01C2" w:rsidP="00EB2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613AC">
              <w:rPr>
                <w:rFonts w:ascii="Arial" w:hAnsi="Arial" w:cs="Arial"/>
                <w:bCs/>
                <w:sz w:val="21"/>
                <w:szCs w:val="21"/>
              </w:rPr>
              <w:t xml:space="preserve">ERSOU CTP covers the counties of Beds, Cambs, Herts and Essex, </w:t>
            </w:r>
            <w:proofErr w:type="gramStart"/>
            <w:r w:rsidRPr="008613AC">
              <w:rPr>
                <w:rFonts w:ascii="Arial" w:hAnsi="Arial" w:cs="Arial"/>
                <w:bCs/>
                <w:sz w:val="21"/>
                <w:szCs w:val="21"/>
              </w:rPr>
              <w:t>Norfolk</w:t>
            </w:r>
            <w:proofErr w:type="gramEnd"/>
            <w:r w:rsidRPr="008613AC">
              <w:rPr>
                <w:rFonts w:ascii="Arial" w:hAnsi="Arial" w:cs="Arial"/>
                <w:bCs/>
                <w:sz w:val="21"/>
                <w:szCs w:val="21"/>
              </w:rPr>
              <w:t xml:space="preserve"> and Suffolk. The role deals with management of CT intelligence within BCH. </w:t>
            </w:r>
            <w:r w:rsidR="00F233BA" w:rsidRPr="008613AC">
              <w:rPr>
                <w:rFonts w:ascii="Arial" w:hAnsi="Arial" w:cs="Arial"/>
                <w:bCs/>
                <w:sz w:val="21"/>
                <w:szCs w:val="21"/>
              </w:rPr>
              <w:t xml:space="preserve">The post holder </w:t>
            </w:r>
            <w:r w:rsidR="00241804" w:rsidRPr="008613AC">
              <w:rPr>
                <w:rFonts w:ascii="Arial" w:hAnsi="Arial" w:cs="Arial"/>
                <w:bCs/>
                <w:sz w:val="21"/>
                <w:szCs w:val="21"/>
              </w:rPr>
              <w:t xml:space="preserve">will be required to be office based at a secure location in Hertfordshire. There is no scope for agile working in this role. </w:t>
            </w:r>
          </w:p>
          <w:p w14:paraId="0CD650E2" w14:textId="005495BA" w:rsidR="00F233BA" w:rsidRPr="008613AC" w:rsidRDefault="00F233BA" w:rsidP="00EB2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8613AC">
              <w:rPr>
                <w:rFonts w:ascii="Arial" w:hAnsi="Arial" w:cs="Arial"/>
                <w:bCs/>
                <w:sz w:val="21"/>
                <w:szCs w:val="21"/>
              </w:rPr>
              <w:t xml:space="preserve">The post holder will be required to </w:t>
            </w:r>
            <w:r w:rsidR="000F01C2" w:rsidRPr="008613AC">
              <w:rPr>
                <w:rFonts w:ascii="Arial" w:hAnsi="Arial" w:cs="Arial"/>
                <w:bCs/>
                <w:sz w:val="21"/>
                <w:szCs w:val="21"/>
              </w:rPr>
              <w:t xml:space="preserve">assist with regional management of intelligence and possible requirement to assist operationally at various locations across the region and at times nationally. </w:t>
            </w:r>
          </w:p>
          <w:p w14:paraId="3CBC70EE" w14:textId="1FEE642E" w:rsidR="00E20501" w:rsidRPr="008613AC" w:rsidRDefault="00E20501" w:rsidP="00EB2D34">
            <w:pPr>
              <w:numPr>
                <w:ilvl w:val="0"/>
                <w:numId w:val="18"/>
              </w:numPr>
              <w:snapToGrid w:val="0"/>
              <w:spacing w:line="360" w:lineRule="auto"/>
              <w:rPr>
                <w:rFonts w:cs="Arial"/>
                <w:bCs/>
                <w:sz w:val="21"/>
                <w:szCs w:val="21"/>
              </w:rPr>
            </w:pPr>
            <w:r w:rsidRPr="008613AC">
              <w:rPr>
                <w:rFonts w:cs="Arial"/>
                <w:sz w:val="21"/>
                <w:szCs w:val="21"/>
              </w:rPr>
              <w:t xml:space="preserve">The post holder will be required to work shifts. </w:t>
            </w:r>
          </w:p>
          <w:p w14:paraId="76527B03" w14:textId="1BFC827B" w:rsidR="00E20501" w:rsidRPr="008613AC" w:rsidRDefault="00E20501" w:rsidP="000F01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613AC">
              <w:rPr>
                <w:rFonts w:ascii="Arial" w:hAnsi="Arial" w:cs="Arial"/>
                <w:sz w:val="21"/>
                <w:szCs w:val="21"/>
              </w:rPr>
              <w:t xml:space="preserve">The post holder may be required to work additional hours. </w:t>
            </w:r>
          </w:p>
          <w:p w14:paraId="41265C02" w14:textId="0F9E32E7" w:rsidR="000F01C2" w:rsidRPr="008613AC" w:rsidRDefault="008613AC" w:rsidP="000F01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613AC">
              <w:rPr>
                <w:rFonts w:ascii="Arial" w:hAnsi="Arial" w:cs="Arial"/>
                <w:sz w:val="21"/>
                <w:szCs w:val="21"/>
              </w:rPr>
              <w:t>You will be required to undertake vetting as this is a designated post.</w:t>
            </w:r>
          </w:p>
          <w:p w14:paraId="43137BB2" w14:textId="04B4E76E" w:rsidR="008613AC" w:rsidRPr="008613AC" w:rsidRDefault="008613AC" w:rsidP="000F01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613AC">
              <w:rPr>
                <w:rFonts w:ascii="Arial" w:hAnsi="Arial" w:cs="Arial"/>
                <w:sz w:val="21"/>
                <w:szCs w:val="21"/>
              </w:rPr>
              <w:t xml:space="preserve">Vetting clearance is a pre-requisite of employment in designated posts and the postholder will be subject to management vetting assessment. </w:t>
            </w:r>
          </w:p>
          <w:p w14:paraId="2B1F2B86" w14:textId="43360F79" w:rsidR="008613AC" w:rsidRPr="00096ADA" w:rsidRDefault="008613AC" w:rsidP="000F01C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6ADA">
              <w:rPr>
                <w:rFonts w:ascii="Arial" w:hAnsi="Arial" w:cs="Arial"/>
                <w:sz w:val="21"/>
                <w:szCs w:val="21"/>
              </w:rPr>
              <w:t xml:space="preserve">The post holder will be expected to </w:t>
            </w:r>
            <w:r w:rsidR="00096ADA" w:rsidRPr="00096ADA">
              <w:rPr>
                <w:rFonts w:ascii="Arial" w:hAnsi="Arial" w:cs="Arial"/>
                <w:sz w:val="21"/>
                <w:szCs w:val="21"/>
              </w:rPr>
              <w:t xml:space="preserve">successfully complete </w:t>
            </w:r>
            <w:r w:rsidRPr="00096ADA">
              <w:rPr>
                <w:rFonts w:ascii="Arial" w:hAnsi="Arial" w:cs="Arial"/>
                <w:sz w:val="21"/>
                <w:szCs w:val="21"/>
              </w:rPr>
              <w:t xml:space="preserve">Developed Vetting (DV) to undertake this role. </w:t>
            </w:r>
          </w:p>
          <w:p w14:paraId="55461195" w14:textId="77777777" w:rsidR="00E20501" w:rsidRPr="00096ADA" w:rsidRDefault="00E20501" w:rsidP="00EB2D34">
            <w:pPr>
              <w:numPr>
                <w:ilvl w:val="0"/>
                <w:numId w:val="18"/>
              </w:numPr>
              <w:snapToGrid w:val="0"/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>The post holder will be expected to undertake training as and when required.</w:t>
            </w:r>
          </w:p>
          <w:p w14:paraId="7C1D65C1" w14:textId="77777777" w:rsidR="00E20501" w:rsidRPr="00096ADA" w:rsidRDefault="00E20501" w:rsidP="00EB2D34">
            <w:pPr>
              <w:numPr>
                <w:ilvl w:val="0"/>
                <w:numId w:val="18"/>
              </w:numPr>
              <w:snapToGrid w:val="0"/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lastRenderedPageBreak/>
              <w:t xml:space="preserve">The post holder will be expected to comply with health and safety requirements. </w:t>
            </w:r>
          </w:p>
          <w:p w14:paraId="19A5AB47" w14:textId="77777777" w:rsidR="005E595C" w:rsidRPr="00096ADA" w:rsidRDefault="005E595C" w:rsidP="00EB2D34">
            <w:pPr>
              <w:spacing w:line="360" w:lineRule="auto"/>
              <w:rPr>
                <w:rFonts w:cs="Arial"/>
                <w:b/>
                <w:bCs/>
                <w:sz w:val="21"/>
                <w:szCs w:val="21"/>
              </w:rPr>
            </w:pPr>
          </w:p>
          <w:p w14:paraId="4F785101" w14:textId="61FBF2FC" w:rsidR="00D35BA6" w:rsidRPr="00096ADA" w:rsidRDefault="00D35BA6" w:rsidP="00EB2D34">
            <w:pPr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b/>
                <w:bCs/>
                <w:sz w:val="21"/>
                <w:szCs w:val="21"/>
              </w:rPr>
              <w:t>Obligatory Requirements</w:t>
            </w:r>
          </w:p>
          <w:p w14:paraId="55C862A3" w14:textId="59626A85" w:rsidR="00D35BA6" w:rsidRPr="00096ADA" w:rsidRDefault="00D35BA6" w:rsidP="00EB2D34">
            <w:pPr>
              <w:numPr>
                <w:ilvl w:val="0"/>
                <w:numId w:val="18"/>
              </w:numPr>
              <w:snapToGrid w:val="0"/>
              <w:spacing w:line="360" w:lineRule="auto"/>
              <w:rPr>
                <w:rFonts w:cs="Arial"/>
                <w:sz w:val="21"/>
                <w:szCs w:val="21"/>
              </w:rPr>
            </w:pPr>
            <w:r w:rsidRPr="00096ADA">
              <w:rPr>
                <w:rFonts w:cs="Arial"/>
                <w:sz w:val="21"/>
                <w:szCs w:val="21"/>
              </w:rPr>
              <w:t>Before commencement o</w:t>
            </w:r>
            <w:r w:rsidR="00834DDF" w:rsidRPr="00096ADA">
              <w:rPr>
                <w:rFonts w:cs="Arial"/>
                <w:sz w:val="21"/>
                <w:szCs w:val="21"/>
              </w:rPr>
              <w:t>f this appointment, this role may be</w:t>
            </w:r>
            <w:r w:rsidRPr="00096ADA">
              <w:rPr>
                <w:rFonts w:cs="Arial"/>
                <w:sz w:val="21"/>
                <w:szCs w:val="21"/>
              </w:rPr>
              <w:t xml:space="preserve"> subject to </w:t>
            </w:r>
            <w:r w:rsidR="00834DDF" w:rsidRPr="00096ADA">
              <w:rPr>
                <w:rFonts w:cs="Arial"/>
                <w:sz w:val="21"/>
                <w:szCs w:val="21"/>
              </w:rPr>
              <w:t xml:space="preserve">a </w:t>
            </w:r>
            <w:r w:rsidRPr="00096ADA">
              <w:rPr>
                <w:rFonts w:cs="Arial"/>
                <w:sz w:val="21"/>
                <w:szCs w:val="21"/>
              </w:rPr>
              <w:t>medical assessment.  For some roles health screening or surveillance may be required on a regular basis, as identified by line manager risk assessments.</w:t>
            </w:r>
          </w:p>
          <w:p w14:paraId="165BEC4E" w14:textId="77777777" w:rsidR="009E59F8" w:rsidRPr="00096ADA" w:rsidRDefault="009E59F8" w:rsidP="00EB2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6ADA">
              <w:rPr>
                <w:rFonts w:ascii="Arial" w:hAnsi="Arial" w:cs="Arial"/>
                <w:snapToGrid w:val="0"/>
                <w:sz w:val="21"/>
                <w:szCs w:val="21"/>
              </w:rPr>
              <w:t>There is a requirement for the role holder to meet the probationary objectives set.</w:t>
            </w:r>
          </w:p>
          <w:p w14:paraId="037CE7CD" w14:textId="6328A98D" w:rsidR="00E20501" w:rsidRPr="000F01C2" w:rsidRDefault="002629F1" w:rsidP="00EB2D34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6ADA">
              <w:rPr>
                <w:rFonts w:ascii="Arial" w:hAnsi="Arial" w:cs="Arial"/>
                <w:snapToGrid w:val="0"/>
                <w:sz w:val="21"/>
                <w:szCs w:val="21"/>
              </w:rPr>
              <w:t>The post holder will be expected to assess the competence of their direct reports who are on the National Police Promotion Framework Process.</w:t>
            </w:r>
            <w:r w:rsidRPr="000F01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93BD107" w14:textId="77777777" w:rsidR="00E55CA0" w:rsidRPr="00EB2D34" w:rsidRDefault="00E55CA0" w:rsidP="00EB2D34">
      <w:pPr>
        <w:spacing w:line="360" w:lineRule="auto"/>
        <w:rPr>
          <w:rFonts w:cs="Arial"/>
          <w:sz w:val="24"/>
          <w:szCs w:val="24"/>
        </w:rPr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0E624F" w:rsidRPr="00EB2D34" w14:paraId="05206457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46CEC31F" w14:textId="23AE14F6" w:rsidR="000E624F" w:rsidRPr="00EB2D34" w:rsidRDefault="000E624F" w:rsidP="00EB2D34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Personal Qualities</w:t>
            </w:r>
            <w:r w:rsidR="00DF3151" w:rsidRPr="00EB2D3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B2D34">
              <w:rPr>
                <w:rFonts w:cs="Arial"/>
                <w:b/>
                <w:sz w:val="24"/>
                <w:szCs w:val="24"/>
              </w:rPr>
              <w:t>(Behavioural Competencies)</w:t>
            </w:r>
          </w:p>
        </w:tc>
      </w:tr>
      <w:tr w:rsidR="000E624F" w:rsidRPr="00EB2D34" w14:paraId="5371F083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46B61C8C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We are emotionally aware</w:t>
            </w:r>
          </w:p>
        </w:tc>
      </w:tr>
      <w:tr w:rsidR="000E624F" w:rsidRPr="00EB2D34" w14:paraId="7DFEE808" w14:textId="77777777" w:rsidTr="00DF3151">
        <w:tc>
          <w:tcPr>
            <w:tcW w:w="10916" w:type="dxa"/>
            <w:shd w:val="clear" w:color="auto" w:fill="auto"/>
          </w:tcPr>
          <w:p w14:paraId="5524C0A2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consider the perspectives of people from a wide range of backgrounds before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taking action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>. I adapt my style and approach according to the needs of the people I am working with, using my own behaviour to achieve the best outcome. I promote a culture that values diversity and encourages challenge. I encourage reflective practice among others and take the time to support others to understand reactions and behaviours. I take responsibility for helping to ensure the emotional wellbeing of those in my teams. I take the responsibility to deal with any inappropriate behaviours.</w:t>
            </w:r>
          </w:p>
        </w:tc>
      </w:tr>
      <w:tr w:rsidR="000E624F" w:rsidRPr="00EB2D34" w14:paraId="3ED92E22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37186B4D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We take ownership</w:t>
            </w:r>
          </w:p>
        </w:tc>
      </w:tr>
      <w:tr w:rsidR="000E624F" w:rsidRPr="00EB2D34" w14:paraId="1A03685E" w14:textId="77777777" w:rsidTr="00DF3151">
        <w:tc>
          <w:tcPr>
            <w:tcW w:w="10916" w:type="dxa"/>
            <w:shd w:val="clear" w:color="auto" w:fill="auto"/>
          </w:tcPr>
          <w:p w14:paraId="2CCB9AEE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proactively create a culture of ownership within my areas of work and support others to display personal responsibility. I take responsibility for making improvements to policies,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processes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and procedures, actively encouraging others to contribute their ideas. I am accountable for the decisions my team make and the activities within our teams. I take personal responsibility for seeing events through to a satisfactory conclusion and for correcting any problems both promptly and openly. I actively encourage and support learning within my teams and colleagues. </w:t>
            </w:r>
          </w:p>
        </w:tc>
      </w:tr>
      <w:tr w:rsidR="000E624F" w:rsidRPr="00EB2D34" w14:paraId="762D58AA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0FC791B4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We are collaborative</w:t>
            </w:r>
          </w:p>
        </w:tc>
      </w:tr>
      <w:tr w:rsidR="000E624F" w:rsidRPr="00EB2D34" w14:paraId="19046415" w14:textId="77777777" w:rsidTr="00DF3151">
        <w:tc>
          <w:tcPr>
            <w:tcW w:w="10916" w:type="dxa"/>
            <w:shd w:val="clear" w:color="auto" w:fill="auto"/>
          </w:tcPr>
          <w:p w14:paraId="44AF6D64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manage relationships and partnerships for the long term, sharing information and building trust to find the best solutions. I help create joined-up solutions across organisational and geographical boundaries, partner organisations and those the police serve. I understand the local partnership context, helping me to use a range of tailored steps to build support. I work with our partners to decide who is best placed to take the lead on initiatives. I try to anticipate our partners' needs and take action to address these. I do not make assumptions. I check that our partners are getting what they need from the police service. I build commitment from others (including the public) to work together to deliver agreed outcomes. </w:t>
            </w:r>
          </w:p>
        </w:tc>
      </w:tr>
      <w:tr w:rsidR="000E624F" w:rsidRPr="00EB2D34" w14:paraId="47C25CD1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5880296F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lastRenderedPageBreak/>
              <w:t xml:space="preserve">We deliver, </w:t>
            </w:r>
            <w:proofErr w:type="gramStart"/>
            <w:r w:rsidRPr="00EB2D34">
              <w:rPr>
                <w:rFonts w:cs="Arial"/>
                <w:b/>
                <w:sz w:val="24"/>
                <w:szCs w:val="24"/>
              </w:rPr>
              <w:t>support</w:t>
            </w:r>
            <w:proofErr w:type="gramEnd"/>
            <w:r w:rsidRPr="00EB2D34">
              <w:rPr>
                <w:rFonts w:cs="Arial"/>
                <w:b/>
                <w:sz w:val="24"/>
                <w:szCs w:val="24"/>
              </w:rPr>
              <w:t xml:space="preserve"> and inspire</w:t>
            </w:r>
          </w:p>
        </w:tc>
      </w:tr>
      <w:tr w:rsidR="000E624F" w:rsidRPr="00EB2D34" w14:paraId="0390DB32" w14:textId="77777777" w:rsidTr="00DF3151">
        <w:tc>
          <w:tcPr>
            <w:tcW w:w="10916" w:type="dxa"/>
            <w:shd w:val="clear" w:color="auto" w:fill="auto"/>
          </w:tcPr>
          <w:p w14:paraId="066FA16F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give clear directions and have explicit expectations, helping others to understand how their work operates in the wider context. I identify barriers that inhibit performance in my teams and take steps to resolve these thereby enabling others to perform. I lead the public and/or my colleagues, where appropriate, during incidents or through the provision of advice and support. I ensure the efficient use of resources to create the most value and to deliver the right impact within my areas. I keep track of changes in the external environment, anticipating both the short- and long-term implications for the police service. I motivate and inspire others to achieve their best. </w:t>
            </w:r>
          </w:p>
        </w:tc>
      </w:tr>
      <w:tr w:rsidR="000E624F" w:rsidRPr="00EB2D34" w14:paraId="14ECBC97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6735C5A8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We analyse critically</w:t>
            </w:r>
          </w:p>
        </w:tc>
      </w:tr>
      <w:tr w:rsidR="000E624F" w:rsidRPr="00EB2D34" w14:paraId="2CDF1C64" w14:textId="77777777" w:rsidTr="00DF3151">
        <w:tc>
          <w:tcPr>
            <w:tcW w:w="10916" w:type="dxa"/>
            <w:shd w:val="clear" w:color="auto" w:fill="auto"/>
          </w:tcPr>
          <w:p w14:paraId="590B9850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ensure that the best available evidence from a wide range of sources is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taken into account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when making decisions. I think about different perspectives and motivations when reviewing information and how this may influence key points. I ask incisive questions to test out facts and assumptions, questioning and challenging the information provided when necessary. I understand when to balance decisive action with due consideration. I recognise patterns,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themes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and connections between several and diverse sources of information and best available evidence. I identify when I need to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take action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on the basis of limited information and think about how to mitigate the risks in so doing. I challenge others to ensure that decisions are made in alignment with our mission,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values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and the Code of Ethics.</w:t>
            </w:r>
          </w:p>
        </w:tc>
      </w:tr>
      <w:tr w:rsidR="000E624F" w:rsidRPr="00EB2D34" w14:paraId="69D33F90" w14:textId="77777777" w:rsidTr="00F233BA">
        <w:tc>
          <w:tcPr>
            <w:tcW w:w="10916" w:type="dxa"/>
            <w:shd w:val="clear" w:color="auto" w:fill="BDD6EE" w:themeFill="accent1" w:themeFillTint="66"/>
          </w:tcPr>
          <w:p w14:paraId="0650EE51" w14:textId="77777777" w:rsidR="000E624F" w:rsidRPr="00EB2D34" w:rsidRDefault="000E624F" w:rsidP="00EB2D34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EB2D34">
              <w:rPr>
                <w:rFonts w:cs="Arial"/>
                <w:b/>
                <w:sz w:val="24"/>
                <w:szCs w:val="24"/>
              </w:rPr>
              <w:t>We are innovative and open-minded</w:t>
            </w:r>
          </w:p>
        </w:tc>
      </w:tr>
      <w:tr w:rsidR="000E624F" w:rsidRPr="00EB2D34" w14:paraId="22E5D8B5" w14:textId="77777777" w:rsidTr="00DF3151">
        <w:tc>
          <w:tcPr>
            <w:tcW w:w="10916" w:type="dxa"/>
            <w:shd w:val="clear" w:color="auto" w:fill="auto"/>
          </w:tcPr>
          <w:p w14:paraId="683A629C" w14:textId="77777777" w:rsidR="000E624F" w:rsidRPr="00EB2D34" w:rsidRDefault="000E624F" w:rsidP="00EB2D3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EB2D34">
              <w:rPr>
                <w:rFonts w:cs="Arial"/>
                <w:sz w:val="24"/>
                <w:szCs w:val="24"/>
              </w:rPr>
              <w:t xml:space="preserve">I explore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a number of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different sources of information and use a variety of tools when faced with a problem and look for good practice that is not always from policing. I </w:t>
            </w:r>
            <w:proofErr w:type="gramStart"/>
            <w:r w:rsidRPr="00EB2D34">
              <w:rPr>
                <w:rFonts w:cs="Arial"/>
                <w:sz w:val="24"/>
                <w:szCs w:val="24"/>
              </w:rPr>
              <w:t>am able to</w:t>
            </w:r>
            <w:proofErr w:type="gramEnd"/>
            <w:r w:rsidRPr="00EB2D34">
              <w:rPr>
                <w:rFonts w:cs="Arial"/>
                <w:sz w:val="24"/>
                <w:szCs w:val="24"/>
              </w:rPr>
              <w:t xml:space="preserve"> spot opportunities or threats which may influence how I go about my job in the future by using knowledge of trends, new thinking about policing and changing demographics in the population. I am flexible in my approach, changing my plans to make sure that I have the best impact. I encourage others to be creative and take appropriate risks. I share my explorations and understanding of the wider internal and external environment. </w:t>
            </w:r>
          </w:p>
        </w:tc>
      </w:tr>
    </w:tbl>
    <w:p w14:paraId="4B4CDCEC" w14:textId="77777777" w:rsidR="00536805" w:rsidRPr="00EB2D34" w:rsidRDefault="00536805" w:rsidP="00EB2D34">
      <w:pPr>
        <w:spacing w:line="360" w:lineRule="auto"/>
        <w:rPr>
          <w:rFonts w:cs="Arial"/>
          <w:sz w:val="24"/>
          <w:szCs w:val="24"/>
        </w:rPr>
      </w:pPr>
    </w:p>
    <w:sectPr w:rsidR="00536805" w:rsidRPr="00EB2D34" w:rsidSect="00891D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720" w:footer="45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637A" w14:textId="77777777" w:rsidR="00E55CA0" w:rsidRDefault="00E55CA0" w:rsidP="00E55CA0">
      <w:r>
        <w:separator/>
      </w:r>
    </w:p>
  </w:endnote>
  <w:endnote w:type="continuationSeparator" w:id="0">
    <w:p w14:paraId="4F89468A" w14:textId="77777777" w:rsidR="00E55CA0" w:rsidRDefault="00E55CA0" w:rsidP="00E5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C34E" w14:textId="77777777" w:rsidR="008613AC" w:rsidRPr="002B5253" w:rsidRDefault="008613AC" w:rsidP="008613AC">
    <w:pPr>
      <w:pStyle w:val="Footer"/>
      <w:rPr>
        <w:rFonts w:cs="Arial"/>
        <w:sz w:val="24"/>
        <w:szCs w:val="24"/>
      </w:rPr>
    </w:pPr>
    <w:r w:rsidRPr="002B5253">
      <w:rPr>
        <w:rFonts w:cs="Arial"/>
        <w:sz w:val="24"/>
        <w:szCs w:val="24"/>
      </w:rPr>
      <w:t xml:space="preserve">Sergeant – </w:t>
    </w:r>
    <w:r>
      <w:rPr>
        <w:rFonts w:cs="Arial"/>
        <w:sz w:val="24"/>
        <w:szCs w:val="24"/>
      </w:rPr>
      <w:t>ERSOU CTP FIMU</w:t>
    </w:r>
    <w:r w:rsidRPr="002B5253">
      <w:rPr>
        <w:rFonts w:cs="Arial"/>
        <w:sz w:val="24"/>
        <w:szCs w:val="24"/>
      </w:rPr>
      <w:tab/>
    </w:r>
    <w:r w:rsidRPr="002B5253">
      <w:rPr>
        <w:rFonts w:cs="Arial"/>
        <w:sz w:val="24"/>
        <w:szCs w:val="24"/>
      </w:rPr>
      <w:tab/>
      <w:t>VERSION REF</w:t>
    </w:r>
    <w:r>
      <w:rPr>
        <w:rFonts w:cs="Arial"/>
        <w:sz w:val="24"/>
        <w:szCs w:val="24"/>
      </w:rPr>
      <w:t xml:space="preserve"> V.2</w:t>
    </w:r>
  </w:p>
  <w:p w14:paraId="2ABC623A" w14:textId="77777777" w:rsidR="008613AC" w:rsidRPr="002B5253" w:rsidRDefault="008613AC" w:rsidP="008613AC">
    <w:pPr>
      <w:pStyle w:val="Footer"/>
      <w:rPr>
        <w:rFonts w:cs="Arial"/>
        <w:sz w:val="24"/>
        <w:szCs w:val="24"/>
      </w:rPr>
    </w:pPr>
    <w:r w:rsidRPr="002B5253">
      <w:rPr>
        <w:rFonts w:cs="Arial"/>
        <w:sz w:val="24"/>
        <w:szCs w:val="24"/>
      </w:rPr>
      <w:t xml:space="preserve">Last Updated / Created: </w:t>
    </w:r>
    <w:r>
      <w:rPr>
        <w:rFonts w:cs="Arial"/>
        <w:sz w:val="24"/>
        <w:szCs w:val="24"/>
      </w:rPr>
      <w:t>September 2022</w:t>
    </w:r>
  </w:p>
  <w:p w14:paraId="40BE66B0" w14:textId="124AECB6" w:rsidR="000E624F" w:rsidRPr="002B5253" w:rsidRDefault="000E624F" w:rsidP="000E624F">
    <w:pPr>
      <w:pStyle w:val="Footer"/>
      <w:rPr>
        <w:rFonts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4B13" w14:textId="7E870F64" w:rsidR="002B5253" w:rsidRPr="002B5253" w:rsidRDefault="002B5253" w:rsidP="002B5253">
    <w:pPr>
      <w:pStyle w:val="Footer"/>
      <w:rPr>
        <w:rFonts w:cs="Arial"/>
        <w:sz w:val="24"/>
        <w:szCs w:val="24"/>
      </w:rPr>
    </w:pPr>
    <w:r w:rsidRPr="002B5253">
      <w:rPr>
        <w:rFonts w:cs="Arial"/>
        <w:sz w:val="24"/>
        <w:szCs w:val="24"/>
      </w:rPr>
      <w:t xml:space="preserve">Sergeant – </w:t>
    </w:r>
    <w:r w:rsidR="00276D2C">
      <w:rPr>
        <w:rFonts w:cs="Arial"/>
        <w:sz w:val="24"/>
        <w:szCs w:val="24"/>
      </w:rPr>
      <w:t>ERSOU CTP FIMU</w:t>
    </w:r>
    <w:r w:rsidRPr="002B5253">
      <w:rPr>
        <w:rFonts w:cs="Arial"/>
        <w:sz w:val="24"/>
        <w:szCs w:val="24"/>
      </w:rPr>
      <w:tab/>
    </w:r>
    <w:r w:rsidRPr="002B5253">
      <w:rPr>
        <w:rFonts w:cs="Arial"/>
        <w:sz w:val="24"/>
        <w:szCs w:val="24"/>
      </w:rPr>
      <w:tab/>
      <w:t>VERSION REF</w:t>
    </w:r>
    <w:r w:rsidR="00276D2C">
      <w:rPr>
        <w:rFonts w:cs="Arial"/>
        <w:sz w:val="24"/>
        <w:szCs w:val="24"/>
      </w:rPr>
      <w:t xml:space="preserve"> V.2</w:t>
    </w:r>
  </w:p>
  <w:p w14:paraId="0AA601C8" w14:textId="681E345B" w:rsidR="002B5253" w:rsidRPr="002B5253" w:rsidRDefault="002B5253" w:rsidP="002B5253">
    <w:pPr>
      <w:pStyle w:val="Footer"/>
      <w:rPr>
        <w:rFonts w:cs="Arial"/>
        <w:sz w:val="24"/>
        <w:szCs w:val="24"/>
      </w:rPr>
    </w:pPr>
    <w:r w:rsidRPr="002B5253">
      <w:rPr>
        <w:rFonts w:cs="Arial"/>
        <w:sz w:val="24"/>
        <w:szCs w:val="24"/>
      </w:rPr>
      <w:t xml:space="preserve">Last Updated / Created: </w:t>
    </w:r>
    <w:r w:rsidR="00276D2C">
      <w:rPr>
        <w:rFonts w:cs="Arial"/>
        <w:sz w:val="24"/>
        <w:szCs w:val="24"/>
      </w:rPr>
      <w:t>September 2022</w:t>
    </w:r>
  </w:p>
  <w:p w14:paraId="4DC7AC1D" w14:textId="77777777" w:rsidR="002B5253" w:rsidRDefault="002B5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1ED7" w14:textId="77777777" w:rsidR="00E55CA0" w:rsidRDefault="00E55CA0" w:rsidP="00E55CA0">
      <w:r>
        <w:separator/>
      </w:r>
    </w:p>
  </w:footnote>
  <w:footnote w:type="continuationSeparator" w:id="0">
    <w:p w14:paraId="5322F7D8" w14:textId="77777777" w:rsidR="00E55CA0" w:rsidRDefault="00E55CA0" w:rsidP="00E5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68AD" w14:textId="08543A56" w:rsidR="00F233BA" w:rsidRDefault="00F233BA" w:rsidP="000E624F">
    <w:pPr>
      <w:pStyle w:val="Header"/>
      <w:tabs>
        <w:tab w:val="clear" w:pos="8306"/>
        <w:tab w:val="right" w:pos="10348"/>
      </w:tabs>
      <w:ind w:right="288"/>
      <w:rPr>
        <w:b/>
        <w:sz w:val="24"/>
      </w:rPr>
    </w:pPr>
  </w:p>
  <w:p w14:paraId="2CEB57A6" w14:textId="77777777" w:rsidR="00F233BA" w:rsidRDefault="00F233BA" w:rsidP="000E624F">
    <w:pPr>
      <w:pStyle w:val="Header"/>
      <w:tabs>
        <w:tab w:val="clear" w:pos="8306"/>
        <w:tab w:val="right" w:pos="10348"/>
      </w:tabs>
      <w:ind w:right="288"/>
      <w:rPr>
        <w:b/>
        <w:sz w:val="24"/>
      </w:rPr>
    </w:pPr>
  </w:p>
  <w:p w14:paraId="75B7E4F0" w14:textId="35558566" w:rsidR="00035D25" w:rsidRDefault="00735025" w:rsidP="000E624F">
    <w:pPr>
      <w:pStyle w:val="Header"/>
      <w:tabs>
        <w:tab w:val="clear" w:pos="8306"/>
        <w:tab w:val="right" w:pos="10348"/>
      </w:tabs>
      <w:ind w:right="288"/>
      <w:rPr>
        <w:b/>
        <w:sz w:val="24"/>
      </w:rPr>
    </w:pPr>
    <w:r>
      <w:rPr>
        <w:b/>
        <w:sz w:val="24"/>
      </w:rPr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4FD" w14:textId="679BF73C" w:rsidR="00891DD2" w:rsidRDefault="00C5335A">
    <w:pPr>
      <w:pStyle w:val="Header"/>
      <w:rPr>
        <w:noProof/>
        <w:lang w:eastAsia="en-GB"/>
      </w:rPr>
    </w:pPr>
    <w:r>
      <w:rPr>
        <w:b/>
        <w:noProof/>
        <w:lang w:eastAsia="en-GB"/>
      </w:rPr>
      <w:drawing>
        <wp:inline distT="0" distB="0" distL="0" distR="0" wp14:anchorId="6568B6C0" wp14:editId="7D37CA8C">
          <wp:extent cx="2688382" cy="1171575"/>
          <wp:effectExtent l="0" t="0" r="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704" cy="122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6A172" w14:textId="5366F094" w:rsidR="00891DD2" w:rsidRDefault="00891DD2">
    <w:pPr>
      <w:pStyle w:val="Header"/>
      <w:rPr>
        <w:noProof/>
        <w:lang w:eastAsia="en-GB"/>
      </w:rPr>
    </w:pPr>
  </w:p>
  <w:p w14:paraId="69A179F2" w14:textId="6BFB46CA" w:rsidR="00891DD2" w:rsidRPr="00891DD2" w:rsidRDefault="00891DD2">
    <w:pPr>
      <w:pStyle w:val="Header"/>
      <w:rPr>
        <w:b/>
        <w:bCs/>
        <w:sz w:val="24"/>
        <w:szCs w:val="24"/>
      </w:rPr>
    </w:pPr>
    <w:r w:rsidRPr="00891DD2">
      <w:rPr>
        <w:b/>
        <w:bCs/>
        <w:sz w:val="24"/>
        <w:szCs w:val="24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66F"/>
    <w:multiLevelType w:val="hybridMultilevel"/>
    <w:tmpl w:val="DBDE75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7F2"/>
    <w:multiLevelType w:val="multilevel"/>
    <w:tmpl w:val="141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84720"/>
    <w:multiLevelType w:val="multilevel"/>
    <w:tmpl w:val="9F62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1745A"/>
    <w:multiLevelType w:val="hybridMultilevel"/>
    <w:tmpl w:val="EBD28E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176C6"/>
    <w:multiLevelType w:val="hybridMultilevel"/>
    <w:tmpl w:val="CB925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70E"/>
    <w:multiLevelType w:val="hybridMultilevel"/>
    <w:tmpl w:val="2D8C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B4979"/>
    <w:multiLevelType w:val="multilevel"/>
    <w:tmpl w:val="BF9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87FEF"/>
    <w:multiLevelType w:val="hybridMultilevel"/>
    <w:tmpl w:val="AC20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156D"/>
    <w:multiLevelType w:val="hybridMultilevel"/>
    <w:tmpl w:val="30BE3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37CC"/>
    <w:multiLevelType w:val="multilevel"/>
    <w:tmpl w:val="B84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04728"/>
    <w:multiLevelType w:val="hybridMultilevel"/>
    <w:tmpl w:val="3CCA8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A4805"/>
    <w:multiLevelType w:val="hybridMultilevel"/>
    <w:tmpl w:val="9E84A534"/>
    <w:lvl w:ilvl="0" w:tplc="6076F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D52D1"/>
    <w:multiLevelType w:val="multilevel"/>
    <w:tmpl w:val="E336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34F77"/>
    <w:multiLevelType w:val="hybridMultilevel"/>
    <w:tmpl w:val="8FF8B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641F3"/>
    <w:multiLevelType w:val="hybridMultilevel"/>
    <w:tmpl w:val="A198B6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C49E6"/>
    <w:multiLevelType w:val="multilevel"/>
    <w:tmpl w:val="75F4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B1BEC"/>
    <w:multiLevelType w:val="multilevel"/>
    <w:tmpl w:val="B46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0F7A87"/>
    <w:multiLevelType w:val="multilevel"/>
    <w:tmpl w:val="DA4E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16F06"/>
    <w:multiLevelType w:val="hybridMultilevel"/>
    <w:tmpl w:val="09869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283441"/>
    <w:multiLevelType w:val="hybridMultilevel"/>
    <w:tmpl w:val="2800CD96"/>
    <w:lvl w:ilvl="0" w:tplc="50E846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076A"/>
    <w:multiLevelType w:val="multilevel"/>
    <w:tmpl w:val="2B9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178F6"/>
    <w:multiLevelType w:val="multilevel"/>
    <w:tmpl w:val="A054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5170E"/>
    <w:multiLevelType w:val="multilevel"/>
    <w:tmpl w:val="4D6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80A91"/>
    <w:multiLevelType w:val="hybridMultilevel"/>
    <w:tmpl w:val="13725B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DB2132"/>
    <w:multiLevelType w:val="multilevel"/>
    <w:tmpl w:val="516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74586"/>
    <w:multiLevelType w:val="hybridMultilevel"/>
    <w:tmpl w:val="AFC250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7857693">
    <w:abstractNumId w:val="11"/>
  </w:num>
  <w:num w:numId="2" w16cid:durableId="235937449">
    <w:abstractNumId w:val="25"/>
  </w:num>
  <w:num w:numId="3" w16cid:durableId="295070595">
    <w:abstractNumId w:val="0"/>
  </w:num>
  <w:num w:numId="4" w16cid:durableId="858158568">
    <w:abstractNumId w:val="14"/>
  </w:num>
  <w:num w:numId="5" w16cid:durableId="2029719099">
    <w:abstractNumId w:val="17"/>
  </w:num>
  <w:num w:numId="6" w16cid:durableId="1021777878">
    <w:abstractNumId w:val="20"/>
  </w:num>
  <w:num w:numId="7" w16cid:durableId="1075590546">
    <w:abstractNumId w:val="1"/>
  </w:num>
  <w:num w:numId="8" w16cid:durableId="111436695">
    <w:abstractNumId w:val="12"/>
  </w:num>
  <w:num w:numId="9" w16cid:durableId="409350477">
    <w:abstractNumId w:val="15"/>
  </w:num>
  <w:num w:numId="10" w16cid:durableId="1423988211">
    <w:abstractNumId w:val="9"/>
  </w:num>
  <w:num w:numId="11" w16cid:durableId="895123089">
    <w:abstractNumId w:val="24"/>
  </w:num>
  <w:num w:numId="12" w16cid:durableId="191847341">
    <w:abstractNumId w:val="21"/>
  </w:num>
  <w:num w:numId="13" w16cid:durableId="1561483417">
    <w:abstractNumId w:val="22"/>
  </w:num>
  <w:num w:numId="14" w16cid:durableId="678049705">
    <w:abstractNumId w:val="16"/>
  </w:num>
  <w:num w:numId="15" w16cid:durableId="1809085346">
    <w:abstractNumId w:val="2"/>
  </w:num>
  <w:num w:numId="16" w16cid:durableId="1215581090">
    <w:abstractNumId w:val="6"/>
  </w:num>
  <w:num w:numId="17" w16cid:durableId="594441653">
    <w:abstractNumId w:val="13"/>
  </w:num>
  <w:num w:numId="18" w16cid:durableId="484666869">
    <w:abstractNumId w:val="13"/>
  </w:num>
  <w:num w:numId="19" w16cid:durableId="796723498">
    <w:abstractNumId w:val="23"/>
  </w:num>
  <w:num w:numId="20" w16cid:durableId="580991198">
    <w:abstractNumId w:val="19"/>
  </w:num>
  <w:num w:numId="21" w16cid:durableId="1856269194">
    <w:abstractNumId w:val="7"/>
  </w:num>
  <w:num w:numId="22" w16cid:durableId="468397049">
    <w:abstractNumId w:val="10"/>
  </w:num>
  <w:num w:numId="23" w16cid:durableId="932208343">
    <w:abstractNumId w:val="18"/>
  </w:num>
  <w:num w:numId="24" w16cid:durableId="394084107">
    <w:abstractNumId w:val="5"/>
  </w:num>
  <w:num w:numId="25" w16cid:durableId="986275794">
    <w:abstractNumId w:val="8"/>
  </w:num>
  <w:num w:numId="26" w16cid:durableId="1546403426">
    <w:abstractNumId w:val="4"/>
  </w:num>
  <w:num w:numId="27" w16cid:durableId="1532065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A0"/>
    <w:rsid w:val="00005309"/>
    <w:rsid w:val="00096ADA"/>
    <w:rsid w:val="000E624F"/>
    <w:rsid w:val="000F01C2"/>
    <w:rsid w:val="001414C8"/>
    <w:rsid w:val="001508A7"/>
    <w:rsid w:val="00241804"/>
    <w:rsid w:val="002629F1"/>
    <w:rsid w:val="00266146"/>
    <w:rsid w:val="00266C5F"/>
    <w:rsid w:val="00276D2C"/>
    <w:rsid w:val="002B5253"/>
    <w:rsid w:val="002F1766"/>
    <w:rsid w:val="003E676F"/>
    <w:rsid w:val="004C5B8F"/>
    <w:rsid w:val="0052182E"/>
    <w:rsid w:val="00536805"/>
    <w:rsid w:val="005369AA"/>
    <w:rsid w:val="00563200"/>
    <w:rsid w:val="005C6349"/>
    <w:rsid w:val="005E595C"/>
    <w:rsid w:val="005F0414"/>
    <w:rsid w:val="005F0A7C"/>
    <w:rsid w:val="0069024F"/>
    <w:rsid w:val="00695345"/>
    <w:rsid w:val="00703B25"/>
    <w:rsid w:val="00731C31"/>
    <w:rsid w:val="00735025"/>
    <w:rsid w:val="007C11F6"/>
    <w:rsid w:val="007F20FC"/>
    <w:rsid w:val="00832ECF"/>
    <w:rsid w:val="00834DDF"/>
    <w:rsid w:val="0086111B"/>
    <w:rsid w:val="008613AC"/>
    <w:rsid w:val="00890EB1"/>
    <w:rsid w:val="00891DD2"/>
    <w:rsid w:val="008A1BF1"/>
    <w:rsid w:val="009D38AB"/>
    <w:rsid w:val="009E59F8"/>
    <w:rsid w:val="00A3143D"/>
    <w:rsid w:val="00A464E4"/>
    <w:rsid w:val="00A569F5"/>
    <w:rsid w:val="00B11419"/>
    <w:rsid w:val="00BC670A"/>
    <w:rsid w:val="00C5335A"/>
    <w:rsid w:val="00D16363"/>
    <w:rsid w:val="00D26F85"/>
    <w:rsid w:val="00D35BA6"/>
    <w:rsid w:val="00D42AA5"/>
    <w:rsid w:val="00D836F9"/>
    <w:rsid w:val="00DB19AA"/>
    <w:rsid w:val="00DF3151"/>
    <w:rsid w:val="00E20501"/>
    <w:rsid w:val="00E35C6B"/>
    <w:rsid w:val="00E55CA0"/>
    <w:rsid w:val="00E61155"/>
    <w:rsid w:val="00EB2D34"/>
    <w:rsid w:val="00F233BA"/>
    <w:rsid w:val="00FA78B9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3757CD"/>
  <w15:docId w15:val="{C2B34217-B1DE-4AF6-B084-3FBE3A03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CA0"/>
    <w:pPr>
      <w:spacing w:after="0" w:line="240" w:lineRule="auto"/>
    </w:pPr>
    <w:rPr>
      <w:rFonts w:ascii="Arial" w:eastAsia="Times New Roman" w:hAnsi="Arial" w:cs="Wingdings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C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5CA0"/>
    <w:rPr>
      <w:rFonts w:ascii="Arial" w:eastAsia="Times New Roman" w:hAnsi="Arial" w:cs="Wingdings"/>
      <w:snapToGrid w:val="0"/>
      <w:sz w:val="20"/>
      <w:szCs w:val="20"/>
    </w:rPr>
  </w:style>
  <w:style w:type="paragraph" w:styleId="Footer">
    <w:name w:val="footer"/>
    <w:basedOn w:val="Normal"/>
    <w:link w:val="FooterChar"/>
    <w:rsid w:val="00E55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5CA0"/>
    <w:rPr>
      <w:rFonts w:ascii="Arial" w:eastAsia="Times New Roman" w:hAnsi="Arial" w:cs="Wingdings"/>
      <w:snapToGrid w:val="0"/>
      <w:sz w:val="20"/>
      <w:szCs w:val="20"/>
    </w:rPr>
  </w:style>
  <w:style w:type="character" w:styleId="PageNumber">
    <w:name w:val="page number"/>
    <w:basedOn w:val="DefaultParagraphFont"/>
    <w:rsid w:val="00E55CA0"/>
  </w:style>
  <w:style w:type="paragraph" w:customStyle="1" w:styleId="Default">
    <w:name w:val="Default"/>
    <w:basedOn w:val="Normal"/>
    <w:rsid w:val="00E55CA0"/>
    <w:pPr>
      <w:autoSpaceDE w:val="0"/>
      <w:autoSpaceDN w:val="0"/>
    </w:pPr>
    <w:rPr>
      <w:rFonts w:ascii="Times New Roman" w:eastAsia="Calibri" w:hAnsi="Times New Roman" w:cs="Times New Roman"/>
      <w:snapToGrid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A6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A6"/>
    <w:rPr>
      <w:rFonts w:ascii="Arial" w:eastAsia="Times New Roman" w:hAnsi="Arial" w:cs="Arial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BA6"/>
    <w:pPr>
      <w:ind w:left="720"/>
    </w:pPr>
    <w:rPr>
      <w:rFonts w:ascii="Calibri" w:eastAsiaTheme="minorHAnsi" w:hAnsi="Calibri" w:cs="Times New Roman"/>
      <w:snapToGrid/>
      <w:sz w:val="22"/>
      <w:szCs w:val="22"/>
    </w:rPr>
  </w:style>
  <w:style w:type="table" w:styleId="TableGrid">
    <w:name w:val="Table Grid"/>
    <w:basedOn w:val="TableNormal"/>
    <w:uiPriority w:val="39"/>
    <w:rsid w:val="000E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8B9"/>
    <w:rPr>
      <w:rFonts w:ascii="Arial" w:eastAsia="Times New Roman" w:hAnsi="Arial" w:cs="Wingdings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8B9"/>
    <w:rPr>
      <w:rFonts w:ascii="Arial" w:eastAsia="Times New Roman" w:hAnsi="Arial" w:cs="Wingdings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05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5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D2C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A5AD-1E80-4E4D-ACF6-2E5B91D0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Rachel 3824</dc:creator>
  <cp:keywords/>
  <dc:description/>
  <cp:lastModifiedBy>SHERRINGTON, Barry 1506</cp:lastModifiedBy>
  <cp:revision>2</cp:revision>
  <dcterms:created xsi:type="dcterms:W3CDTF">2022-09-14T14:24:00Z</dcterms:created>
  <dcterms:modified xsi:type="dcterms:W3CDTF">2022-09-14T14:24:00Z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2021-11-16T14:47:27Z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08220007-9bdc-4577-b1ef-82579a105922</vt:lpwstr>
  </property>
  <property fmtid="{D5CDD505-2E9C-101B-9397-08002B2CF9AE}" pid="8" name="MSIP_Label_b8b5aee8-5735-4353-85b0-06b0f114040f_ContentBits">
    <vt:lpwstr>0</vt:lpwstr>
  </property>
</Properties>
</file>